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891" w:rsidRDefault="006E2CC7" w:rsidP="004B08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0891" w:rsidRPr="008C3036">
        <w:rPr>
          <w:sz w:val="24"/>
          <w:szCs w:val="24"/>
        </w:rPr>
        <w:t xml:space="preserve">Jakiego typu zadania </w:t>
      </w:r>
      <w:r w:rsidR="004B0891" w:rsidRPr="008C3036">
        <w:rPr>
          <w:b/>
          <w:sz w:val="24"/>
          <w:szCs w:val="24"/>
        </w:rPr>
        <w:t>mogą</w:t>
      </w:r>
      <w:r w:rsidR="004B0891" w:rsidRPr="008C3036">
        <w:rPr>
          <w:sz w:val="24"/>
          <w:szCs w:val="24"/>
        </w:rPr>
        <w:t xml:space="preserve"> być realizowane w ramach procedury budżetu obywatelskiego? 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>N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ależące do zadań własnych gminy; możliwe do realizacji w trakcie roku budżetowego 2017 i stanowiące jedno kompleksowe zadanie niewymagające nakładów finansowych w kolejnym roku z uwzględnieniem §2.1.5. regulaminu, przyczyniające się do pozytywnego rozwoju Tuszymy; umożliwiające korzystanie z efektu realizacji zadania przez ogół mieszkańców Tuszymy; 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zadania, które 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zakładają wykonanie tylko jednego z etapów (elementów) realizacji zadania, mogącego istnieć samodzielnie, a w latach następnych dopuszczającego wykonanie dalszych jego etapów (elementów). W ramach procedury budżetu obywatelskiego </w:t>
      </w:r>
      <w:r w:rsidR="004B0891" w:rsidRPr="008C3036">
        <w:rPr>
          <w:rFonts w:eastAsiaTheme="minorHAnsi"/>
          <w:b/>
          <w:color w:val="auto"/>
          <w:kern w:val="0"/>
          <w:sz w:val="24"/>
          <w:szCs w:val="24"/>
          <w:lang w:eastAsia="en-US"/>
        </w:rPr>
        <w:t>nie mogą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być zgłaszane zadania: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których koszt całkowity na realizację przekraczałby wysokość środków dostępnych w ramach budżetu obywatelskiego, określonych przez Burmistrza Przecławia i zatwierdzonych przez Radę Miejską w Przecławiu; które po realizacji generowałyby koszty utrzymania niewspółmiernie wysokie w stosunku do wartości proponowanego zadania; które są sprzeczne z obowiązującymi w mieście planami, politykami, strategiami i programami, w tym w szczególności z miejscowymi planami zagospodarowania przestrzennego; które wymagają współpracy instytucjonalnej podmiotów zewnętrznych, jeżeli te nie przedstawiły wyraźnej, pisemnej gotowości do współpracy;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naruszałyby obowiązujące przepisy prawa, prawa osób trzecich, w tym prawa własności;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zakładają wykonanie wyłącznie dokumentacji projektowej, które dotyczyłyby gotowości bojowej jednostek ochrony przeciwpożarowej włączonych do Krajowego Systemu Ratowniczo-Gaśniczego</w:t>
      </w:r>
      <w:r w:rsidR="004B0891">
        <w:rPr>
          <w:rFonts w:eastAsiaTheme="minorHAnsi"/>
          <w:color w:val="auto"/>
          <w:kern w:val="0"/>
          <w:sz w:val="24"/>
          <w:szCs w:val="24"/>
          <w:lang w:eastAsia="en-US"/>
        </w:rPr>
        <w:t>,</w:t>
      </w:r>
      <w:r w:rsidR="004B0891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które zlokalizowane zostałyby na terenie niestanowiącym mienia Tuszymy.</w:t>
      </w:r>
      <w:r w:rsidR="004B0891">
        <w:rPr>
          <w:sz w:val="24"/>
          <w:szCs w:val="24"/>
        </w:rPr>
        <w:t xml:space="preserve"> </w:t>
      </w:r>
    </w:p>
    <w:p w:rsidR="00183AF9" w:rsidRPr="00CD701D" w:rsidRDefault="00183AF9" w:rsidP="00183AF9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</w:p>
    <w:p w:rsidR="004E19E5" w:rsidRPr="006E2CC7" w:rsidRDefault="004E19E5" w:rsidP="008F344A">
      <w:pPr>
        <w:pStyle w:val="Tekstpodstawowy3"/>
        <w:widowControl w:val="0"/>
        <w:jc w:val="both"/>
      </w:pPr>
    </w:p>
    <w:sectPr w:rsidR="004E19E5" w:rsidRPr="006E2CC7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2CC7"/>
    <w:rsid w:val="000C4C16"/>
    <w:rsid w:val="00183AF9"/>
    <w:rsid w:val="004B0891"/>
    <w:rsid w:val="004E19E5"/>
    <w:rsid w:val="0055690F"/>
    <w:rsid w:val="006E2CC7"/>
    <w:rsid w:val="008F344A"/>
    <w:rsid w:val="00BF517E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CC7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6E2CC7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E2CC7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2016-04-11T12:00:00Z</dcterms:created>
  <dcterms:modified xsi:type="dcterms:W3CDTF">2016-04-11T12:00:00Z</dcterms:modified>
</cp:coreProperties>
</file>